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E251CF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A46D66">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5D3CFF">
        <w:rPr>
          <w:bCs/>
          <w:noProof w:val="0"/>
          <w:sz w:val="24"/>
          <w:szCs w:val="24"/>
        </w:rPr>
        <w:t>01003</w:t>
      </w:r>
    </w:p>
    <w:p w14:paraId="11776FA6" w14:textId="3FA321E3" w:rsidR="00A209D6" w:rsidRPr="00465587" w:rsidRDefault="00A46D66" w:rsidP="00A209D6">
      <w:pPr>
        <w:pStyle w:val="Header"/>
        <w:tabs>
          <w:tab w:val="right" w:pos="9639"/>
        </w:tabs>
        <w:rPr>
          <w:rFonts w:eastAsia="SimSun"/>
          <w:bCs/>
          <w:sz w:val="24"/>
          <w:szCs w:val="24"/>
          <w:lang w:eastAsia="zh-CN"/>
        </w:rPr>
      </w:pPr>
      <w:r>
        <w:rPr>
          <w:rFonts w:eastAsia="SimSun"/>
          <w:bCs/>
          <w:sz w:val="24"/>
          <w:szCs w:val="24"/>
          <w:lang w:eastAsia="zh-CN"/>
        </w:rPr>
        <w:t>Elbonia, Online</w:t>
      </w:r>
      <w:r w:rsidR="006574C0" w:rsidRPr="006574C0">
        <w:rPr>
          <w:rFonts w:eastAsia="SimSun"/>
          <w:bCs/>
          <w:sz w:val="24"/>
          <w:szCs w:val="24"/>
          <w:lang w:eastAsia="zh-CN"/>
        </w:rPr>
        <w:t xml:space="preserve">, </w:t>
      </w:r>
      <w:r w:rsidR="009376CD">
        <w:rPr>
          <w:rFonts w:eastAsia="SimSun"/>
          <w:bCs/>
          <w:sz w:val="24"/>
          <w:szCs w:val="24"/>
          <w:lang w:eastAsia="zh-CN"/>
        </w:rPr>
        <w:t>24</w:t>
      </w:r>
      <w:r w:rsidR="006574C0" w:rsidRPr="006574C0">
        <w:rPr>
          <w:rFonts w:eastAsia="SimSun"/>
          <w:bCs/>
          <w:sz w:val="24"/>
          <w:szCs w:val="24"/>
          <w:lang w:eastAsia="zh-CN"/>
        </w:rPr>
        <w:t xml:space="preserve"> </w:t>
      </w:r>
      <w:r w:rsidR="008F3DCD">
        <w:rPr>
          <w:rFonts w:eastAsia="SimSun"/>
          <w:bCs/>
          <w:sz w:val="24"/>
          <w:szCs w:val="24"/>
          <w:lang w:eastAsia="zh-CN"/>
        </w:rPr>
        <w:t>February</w:t>
      </w:r>
      <w:r>
        <w:rPr>
          <w:rFonts w:eastAsia="SimSun"/>
          <w:bCs/>
          <w:sz w:val="24"/>
          <w:szCs w:val="24"/>
          <w:lang w:eastAsia="zh-CN"/>
        </w:rPr>
        <w:t xml:space="preserve"> – 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B33C0D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3997">
        <w:rPr>
          <w:rFonts w:cs="Arial"/>
          <w:b/>
          <w:bCs/>
          <w:sz w:val="24"/>
          <w:lang w:eastAsia="ja-JP"/>
        </w:rPr>
        <w:t>6.9.3.</w:t>
      </w:r>
      <w:r w:rsidR="003528C7">
        <w:rPr>
          <w:rFonts w:cs="Arial"/>
          <w:b/>
          <w:bCs/>
          <w:sz w:val="24"/>
          <w:lang w:eastAsia="ja-JP"/>
        </w:rPr>
        <w:t>2</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C30B26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7240F">
        <w:rPr>
          <w:rFonts w:ascii="Arial" w:hAnsi="Arial" w:cs="Arial"/>
          <w:b/>
          <w:bCs/>
          <w:sz w:val="24"/>
        </w:rPr>
        <w:t>On T312 in Conditional PSCell change or handover</w:t>
      </w:r>
    </w:p>
    <w:p w14:paraId="1F147C23" w14:textId="027C76A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7240F" w:rsidRPr="00E7240F">
        <w:rPr>
          <w:rFonts w:ascii="Arial" w:hAnsi="Arial" w:cs="Arial"/>
          <w:b/>
          <w:bCs/>
          <w:sz w:val="24"/>
        </w:rPr>
        <w:t xml:space="preserve">NR_Mob_enh-Core </w:t>
      </w:r>
      <w:r>
        <w:rPr>
          <w:rFonts w:ascii="Arial" w:hAnsi="Arial" w:cs="Arial"/>
          <w:b/>
          <w:bCs/>
          <w:sz w:val="24"/>
        </w:rPr>
        <w:t xml:space="preserve">- Release </w:t>
      </w:r>
      <w:r w:rsidR="00E7240F">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D11DD73" w14:textId="076226B2" w:rsidR="003C760C" w:rsidRDefault="003C760C" w:rsidP="00D72FC3">
      <w:pPr>
        <w:jc w:val="both"/>
      </w:pPr>
      <w:r>
        <w:t>In RAN2</w:t>
      </w:r>
      <w:r>
        <w:rPr>
          <w:lang w:val="pl-PL"/>
        </w:rPr>
        <w:t>#</w:t>
      </w:r>
      <w:r>
        <w:t>108 (November 2019) the following has been agreed regarding T312</w:t>
      </w:r>
      <w:r w:rsidR="004B59CE">
        <w:t xml:space="preserve"> </w:t>
      </w:r>
      <w:r w:rsidR="004B59CE">
        <w:fldChar w:fldCharType="begin"/>
      </w:r>
      <w:r w:rsidR="004B59CE">
        <w:instrText xml:space="preserve"> REF _Ref31199917 \r \h </w:instrText>
      </w:r>
      <w:r w:rsidR="00D72FC3">
        <w:instrText xml:space="preserve"> \* MERGEFORMAT </w:instrText>
      </w:r>
      <w:r w:rsidR="004B59CE">
        <w:fldChar w:fldCharType="separate"/>
      </w:r>
      <w:r w:rsidR="004B59CE">
        <w:t>[1]</w:t>
      </w:r>
      <w:r w:rsidR="004B59CE">
        <w:fldChar w:fldCharType="end"/>
      </w:r>
      <w:r>
        <w:t>:</w:t>
      </w:r>
    </w:p>
    <w:tbl>
      <w:tblPr>
        <w:tblStyle w:val="TableGrid"/>
        <w:tblW w:w="0" w:type="auto"/>
        <w:tblLook w:val="04A0" w:firstRow="1" w:lastRow="0" w:firstColumn="1" w:lastColumn="0" w:noHBand="0" w:noVBand="1"/>
      </w:tblPr>
      <w:tblGrid>
        <w:gridCol w:w="9631"/>
      </w:tblGrid>
      <w:tr w:rsidR="003C760C" w14:paraId="20959A1D" w14:textId="77777777" w:rsidTr="003C760C">
        <w:tc>
          <w:tcPr>
            <w:tcW w:w="9631" w:type="dxa"/>
          </w:tcPr>
          <w:p w14:paraId="4AB63074" w14:textId="77777777" w:rsidR="003C760C" w:rsidRDefault="003C760C" w:rsidP="003C760C">
            <w:r>
              <w:t>1</w:t>
            </w:r>
            <w:r>
              <w:tab/>
              <w:t xml:space="preserve">Confirm the working assumption to Introduce T312 based mechanism on PSCell for fast declaration of SCG failure </w:t>
            </w:r>
          </w:p>
          <w:p w14:paraId="1086DB3E" w14:textId="4A6DA7C9" w:rsidR="003C760C" w:rsidRDefault="003C760C" w:rsidP="003C760C">
            <w:r>
              <w:t>2</w:t>
            </w:r>
            <w:r>
              <w:tab/>
              <w:t xml:space="preserve">T312 on PSCell can be configured for SCG measurement configurations provided over SRB3 or SRB1.  </w:t>
            </w:r>
          </w:p>
        </w:tc>
      </w:tr>
    </w:tbl>
    <w:p w14:paraId="31EC6E66" w14:textId="3D051778" w:rsidR="007F2E08" w:rsidRPr="006E13D1" w:rsidRDefault="003C760C" w:rsidP="00D72FC3">
      <w:pPr>
        <w:jc w:val="both"/>
      </w:pPr>
      <w:r>
        <w:br/>
        <w:t xml:space="preserve">Stage 3 details have been progressed in the course of RAN2 e-mail discussion. One of the open issues, considered </w:t>
      </w:r>
      <w:r w:rsidR="00FE7494">
        <w:t>i</w:t>
      </w:r>
      <w:r>
        <w:t>n</w:t>
      </w:r>
      <w:r w:rsidR="00FE7494">
        <w:t xml:space="preserve"> </w:t>
      </w:r>
      <w:r w:rsidR="00FE7494">
        <w:fldChar w:fldCharType="begin"/>
      </w:r>
      <w:r w:rsidR="00FE7494">
        <w:instrText xml:space="preserve"> REF _Ref31199934 \r \h </w:instrText>
      </w:r>
      <w:r w:rsidR="00D72FC3">
        <w:instrText xml:space="preserve"> \* MERGEFORMAT </w:instrText>
      </w:r>
      <w:r w:rsidR="00FE7494">
        <w:fldChar w:fldCharType="separate"/>
      </w:r>
      <w:r w:rsidR="00FE7494">
        <w:t>[2]</w:t>
      </w:r>
      <w:r w:rsidR="00FE7494">
        <w:fldChar w:fldCharType="end"/>
      </w:r>
      <w:r w:rsidR="00FE7494">
        <w:t xml:space="preserve">, was how to handle T312 in case of Conditional Handover (CHO). This paper presents our further thoughts on T312 in CHO or Conditional PSCell Change (CPC) scenario. </w:t>
      </w:r>
    </w:p>
    <w:p w14:paraId="2BBFF540" w14:textId="37D1BD6A" w:rsidR="00A209D6" w:rsidRPr="006E13D1" w:rsidRDefault="00A209D6" w:rsidP="00A209D6">
      <w:pPr>
        <w:pStyle w:val="Heading1"/>
      </w:pPr>
      <w:r w:rsidRPr="006E13D1">
        <w:t>2</w:t>
      </w:r>
      <w:r w:rsidRPr="006E13D1">
        <w:tab/>
      </w:r>
      <w:r w:rsidR="001E4D38">
        <w:t>Discussion</w:t>
      </w:r>
    </w:p>
    <w:p w14:paraId="1CF5D426" w14:textId="74D490BC" w:rsidR="001E4D38" w:rsidRDefault="001E4D38" w:rsidP="001E4D38">
      <w:pPr>
        <w:pStyle w:val="Heading2"/>
      </w:pPr>
      <w:r>
        <w:t>2</w:t>
      </w:r>
      <w:r w:rsidRPr="006E13D1">
        <w:t>.1</w:t>
      </w:r>
      <w:r w:rsidRPr="006E13D1">
        <w:tab/>
      </w:r>
      <w:r>
        <w:t>T312 in case of CHO</w:t>
      </w:r>
    </w:p>
    <w:p w14:paraId="2ACFDA7E" w14:textId="4D98B505" w:rsidR="001E4D38" w:rsidRDefault="001E4D38" w:rsidP="00D72FC3">
      <w:pPr>
        <w:jc w:val="both"/>
      </w:pPr>
      <w:r>
        <w:t>T312 is initiated when a UE triggers measurement report (MR) while T310 is running. Such mechanism, known from LTE, is also specified as a part of NR Rel-16.</w:t>
      </w:r>
      <w:r w:rsidR="000B74EA">
        <w:t xml:space="preserve"> </w:t>
      </w:r>
      <w:r w:rsidR="00CD6599">
        <w:t xml:space="preserve">The behaviour may be straightforward for legacy HO, whereas the circumstances are slightly different for CHO. </w:t>
      </w:r>
    </w:p>
    <w:p w14:paraId="7665673E" w14:textId="4AD7347A" w:rsidR="00CD6599" w:rsidRDefault="00CD6599" w:rsidP="00D72FC3">
      <w:pPr>
        <w:jc w:val="both"/>
      </w:pPr>
      <w:r>
        <w:t xml:space="preserve">In </w:t>
      </w:r>
      <w:r>
        <w:fldChar w:fldCharType="begin"/>
      </w:r>
      <w:r>
        <w:instrText xml:space="preserve"> REF _Ref31199934 \r \h </w:instrText>
      </w:r>
      <w:r w:rsidR="00D72FC3">
        <w:instrText xml:space="preserve"> \* MERGEFORMAT </w:instrText>
      </w:r>
      <w:r>
        <w:fldChar w:fldCharType="separate"/>
      </w:r>
      <w:r>
        <w:t>[2]</w:t>
      </w:r>
      <w:r>
        <w:fldChar w:fldCharType="end"/>
      </w:r>
      <w:r>
        <w:t xml:space="preserve"> it was asked if the reception of </w:t>
      </w:r>
      <w:r w:rsidRPr="00CD6599">
        <w:rPr>
          <w:i/>
        </w:rPr>
        <w:t>cho-Config</w:t>
      </w:r>
      <w:r>
        <w:t xml:space="preserve"> (i.e. RRC Reconfiguration, preparing the UE for CHO execution) shall result in stopping the T312, if it was running. Many companies responded ‘No’. Even though we respect the opinions shared by the others involved in standardizing CHO</w:t>
      </w:r>
      <w:r w:rsidR="00D72FC3">
        <w:t xml:space="preserve"> in 3GPP</w:t>
      </w:r>
      <w:r>
        <w:t xml:space="preserve">, we would like to reiterate why we believe this approach may be wrong.   </w:t>
      </w:r>
    </w:p>
    <w:p w14:paraId="7FD5509C" w14:textId="7397425D" w:rsidR="001E4D38" w:rsidRDefault="00FA4915" w:rsidP="00D72FC3">
      <w:pPr>
        <w:jc w:val="both"/>
      </w:pPr>
      <w:r>
        <w:t xml:space="preserve">The prevailing understanding among those who favoured to let T312 running after the reception of </w:t>
      </w:r>
      <w:r w:rsidRPr="00D72FC3">
        <w:rPr>
          <w:i/>
        </w:rPr>
        <w:t>cho-Config</w:t>
      </w:r>
      <w:r>
        <w:t xml:space="preserve"> was that such CHO preparation does not change anything in the currently serving cell and the radio link monitoring should continue. We do agree with the latter part, i.e. the radio link monitoring shall carry on. However, T312 is not essential to obtain such goal. This can be done with the T310</w:t>
      </w:r>
      <w:r w:rsidR="00D72FC3">
        <w:t xml:space="preserve"> alone.</w:t>
      </w:r>
    </w:p>
    <w:p w14:paraId="45F9B45B" w14:textId="185D85FB" w:rsidR="00FA4915" w:rsidRPr="00D72FC3" w:rsidRDefault="00D72FC3" w:rsidP="00A209D6">
      <w:pPr>
        <w:rPr>
          <w:b/>
        </w:rPr>
      </w:pPr>
      <w:r w:rsidRPr="00D72FC3">
        <w:rPr>
          <w:b/>
        </w:rPr>
        <w:t xml:space="preserve">Observation 1: T312 is not necessary for monitoring the radio link in the serving cell after the reception of </w:t>
      </w:r>
      <w:r w:rsidRPr="00D72FC3">
        <w:rPr>
          <w:b/>
          <w:i/>
        </w:rPr>
        <w:t>cho-Config</w:t>
      </w:r>
      <w:r w:rsidRPr="00D72FC3">
        <w:rPr>
          <w:b/>
        </w:rPr>
        <w:t>. T310 is still available for such purpose.</w:t>
      </w:r>
    </w:p>
    <w:p w14:paraId="56E9A40E" w14:textId="3DD47180" w:rsidR="00D72FC3" w:rsidRDefault="00D72FC3" w:rsidP="00F86DEF">
      <w:pPr>
        <w:jc w:val="both"/>
      </w:pPr>
      <w:r>
        <w:t xml:space="preserve">Keeping T312 running after the reception of </w:t>
      </w:r>
      <w:r w:rsidRPr="00D72FC3">
        <w:rPr>
          <w:i/>
        </w:rPr>
        <w:t>cho-Config</w:t>
      </w:r>
      <w:r>
        <w:t xml:space="preserve"> has also other drawbacks. </w:t>
      </w:r>
      <w:r w:rsidR="002D4AED">
        <w:t>T312 is usually set to short values, much smaller than those configured T310. It actually stems from the main purpose for which T312 was introduced – to declare fast RLF.</w:t>
      </w:r>
      <w:r w:rsidR="00F86DEF">
        <w:t xml:space="preserve"> It is pretty likely T312 will expire before CHO is executed, which will lead to RLF and re-establishment.</w:t>
      </w:r>
      <w:r w:rsidR="002D4AED">
        <w:t xml:space="preserve"> Now the question arises, is there a need to declare RLF immediately when the UE has been configured </w:t>
      </w:r>
      <w:r w:rsidR="00F86DEF">
        <w:t xml:space="preserve">for CHO? </w:t>
      </w:r>
    </w:p>
    <w:p w14:paraId="414B3932" w14:textId="77777777" w:rsidR="000C4237" w:rsidRDefault="00F86DEF" w:rsidP="00A209D6">
      <w:pPr>
        <w:rPr>
          <w:b/>
        </w:rPr>
      </w:pPr>
      <w:r w:rsidRPr="00F86DEF">
        <w:rPr>
          <w:b/>
        </w:rPr>
        <w:t>Observation 2: T312 is used to declare fast RLF. There is no need for such immediate action when</w:t>
      </w:r>
      <w:r w:rsidR="000C4237">
        <w:rPr>
          <w:b/>
        </w:rPr>
        <w:t xml:space="preserve"> UE is prepared with CHO configurations.</w:t>
      </w:r>
    </w:p>
    <w:p w14:paraId="3A798E1E" w14:textId="77777777" w:rsidR="000C4237" w:rsidRDefault="000C4237" w:rsidP="00CA126A">
      <w:pPr>
        <w:jc w:val="both"/>
      </w:pPr>
      <w:r>
        <w:t>One could say that the expiry of T312 is not a big issue as RAN2 has agreed to introduce the recovery via single CHO attempt. Thus, in case T312 expires after the UE was prepared with CHO configurations, the UE still has a chance to make use of those configurations. This would be true, provided that:</w:t>
      </w:r>
    </w:p>
    <w:p w14:paraId="0D9820AC" w14:textId="794BB41F" w:rsidR="000C4237" w:rsidRDefault="000C4237" w:rsidP="00CA126A">
      <w:pPr>
        <w:pStyle w:val="ListParagraph"/>
        <w:numPr>
          <w:ilvl w:val="0"/>
          <w:numId w:val="10"/>
        </w:numPr>
        <w:jc w:val="both"/>
      </w:pPr>
      <w:r>
        <w:lastRenderedPageBreak/>
        <w:t>The UE supports recovery via single CHO attempt</w:t>
      </w:r>
    </w:p>
    <w:p w14:paraId="6849FBC0" w14:textId="6A78D3B7" w:rsidR="00614D2B" w:rsidRDefault="00614D2B" w:rsidP="00CA126A">
      <w:pPr>
        <w:pStyle w:val="ListParagraph"/>
        <w:numPr>
          <w:ilvl w:val="0"/>
          <w:numId w:val="10"/>
        </w:numPr>
        <w:jc w:val="both"/>
      </w:pPr>
      <w:r>
        <w:t>The NW configured the UE with such mechanism</w:t>
      </w:r>
    </w:p>
    <w:p w14:paraId="385F1136" w14:textId="3740BCCA" w:rsidR="00614D2B" w:rsidRDefault="00614D2B" w:rsidP="00CA126A">
      <w:pPr>
        <w:pStyle w:val="ListParagraph"/>
        <w:numPr>
          <w:ilvl w:val="0"/>
          <w:numId w:val="10"/>
        </w:numPr>
        <w:jc w:val="both"/>
      </w:pPr>
      <w:r>
        <w:t>The selected cell in re-establishment procedure is the CHO candidate</w:t>
      </w:r>
    </w:p>
    <w:p w14:paraId="20B92CAD" w14:textId="4F1DA208" w:rsidR="00614D2B" w:rsidRDefault="00614D2B" w:rsidP="00CA126A">
      <w:pPr>
        <w:jc w:val="both"/>
      </w:pPr>
      <w:r>
        <w:t xml:space="preserve">As can be easily observed, </w:t>
      </w:r>
      <w:r w:rsidR="00E9522F">
        <w:t>the list of conditions</w:t>
      </w:r>
      <w:r w:rsidR="001D154C">
        <w:t>,</w:t>
      </w:r>
      <w:r w:rsidR="00E9522F">
        <w:t xml:space="preserve"> that need to be </w:t>
      </w:r>
      <w:r w:rsidR="001D154C">
        <w:t xml:space="preserve">concurrently </w:t>
      </w:r>
      <w:r w:rsidR="00E9522F">
        <w:t>fulfilled</w:t>
      </w:r>
      <w:r w:rsidR="001D154C">
        <w:t xml:space="preserve">, is pretty long. It makes it rather dubious this </w:t>
      </w:r>
      <w:r w:rsidR="005D3CFF">
        <w:t>so-called ‘</w:t>
      </w:r>
      <w:r w:rsidR="001D154C">
        <w:t>solution</w:t>
      </w:r>
      <w:r w:rsidR="005D3CFF">
        <w:t>’</w:t>
      </w:r>
      <w:r w:rsidR="001D154C">
        <w:t xml:space="preserve"> will bring certain benefits and the CHO preparations (which could have been used if the UE would have been allowed to wait a bit longer, beyond the T312 expiry) would turn out to be in vain</w:t>
      </w:r>
      <w:r w:rsidR="00A46D66">
        <w:t>. As a result,</w:t>
      </w:r>
      <w:r w:rsidR="00592118">
        <w:t xml:space="preserve"> the UE would suffer the drawbacks of unnecessary re-establishment.</w:t>
      </w:r>
      <w:r w:rsidR="001D154C">
        <w:t xml:space="preserve"> </w:t>
      </w:r>
    </w:p>
    <w:p w14:paraId="5F692D43" w14:textId="291613ED" w:rsidR="001D154C" w:rsidRPr="001D154C" w:rsidRDefault="001D154C" w:rsidP="00CA126A">
      <w:pPr>
        <w:jc w:val="both"/>
        <w:rPr>
          <w:b/>
        </w:rPr>
      </w:pPr>
      <w:r w:rsidRPr="001D154C">
        <w:rPr>
          <w:b/>
        </w:rPr>
        <w:t>Observation 3: After T312 expiry</w:t>
      </w:r>
      <w:r w:rsidR="00CA126A">
        <w:rPr>
          <w:b/>
        </w:rPr>
        <w:t>,</w:t>
      </w:r>
      <w:r w:rsidRPr="001D154C">
        <w:rPr>
          <w:b/>
        </w:rPr>
        <w:t xml:space="preserve"> in the presence of CHO configurations, the UE is not likely to recover via single CHO attempt.</w:t>
      </w:r>
    </w:p>
    <w:p w14:paraId="5E79E7E9" w14:textId="3F8933E1" w:rsidR="000C4237" w:rsidRPr="000C4237" w:rsidRDefault="000C4237" w:rsidP="00CA126A">
      <w:pPr>
        <w:jc w:val="both"/>
      </w:pPr>
      <w:r w:rsidRPr="000C4237">
        <w:t>Based on the reasoning presented above, we propose the following:</w:t>
      </w:r>
    </w:p>
    <w:p w14:paraId="1A131B09" w14:textId="4F07B5DB" w:rsidR="00F86DEF" w:rsidRPr="00F86DEF" w:rsidRDefault="000C4237" w:rsidP="00CA126A">
      <w:pPr>
        <w:jc w:val="both"/>
        <w:rPr>
          <w:b/>
        </w:rPr>
      </w:pPr>
      <w:r>
        <w:rPr>
          <w:b/>
        </w:rPr>
        <w:t xml:space="preserve">Proposal 1: UE stops T312 when RRC Reconfiguration with </w:t>
      </w:r>
      <w:r w:rsidRPr="000C4237">
        <w:rPr>
          <w:b/>
          <w:i/>
        </w:rPr>
        <w:t>cho-Config</w:t>
      </w:r>
      <w:r>
        <w:rPr>
          <w:b/>
        </w:rPr>
        <w:t xml:space="preserve"> is received. </w:t>
      </w:r>
      <w:r w:rsidR="00F86DEF" w:rsidRPr="00F86DEF">
        <w:rPr>
          <w:b/>
        </w:rPr>
        <w:t xml:space="preserve"> </w:t>
      </w:r>
    </w:p>
    <w:p w14:paraId="0497FE0D" w14:textId="17F85AD8" w:rsidR="000C4237" w:rsidRPr="006E13D1" w:rsidRDefault="000C4237" w:rsidP="000C4237">
      <w:pPr>
        <w:pStyle w:val="Heading2"/>
      </w:pPr>
      <w:r>
        <w:t>2</w:t>
      </w:r>
      <w:r w:rsidRPr="006E13D1">
        <w:t>.</w:t>
      </w:r>
      <w:r>
        <w:t>2</w:t>
      </w:r>
      <w:r w:rsidRPr="006E13D1">
        <w:tab/>
      </w:r>
      <w:r>
        <w:t>T312 for CPC</w:t>
      </w:r>
    </w:p>
    <w:p w14:paraId="4E7D5BFF" w14:textId="2CC2D0BE" w:rsidR="001B4DDC" w:rsidRDefault="005D1BF7">
      <w:pPr>
        <w:jc w:val="both"/>
      </w:pPr>
      <w:r>
        <w:t xml:space="preserve">It has been agreed that T312 can be configured for PSCell. However, in case of </w:t>
      </w:r>
      <w:r w:rsidR="00CA0EE3">
        <w:t>T312</w:t>
      </w:r>
      <w:r>
        <w:t xml:space="preserve"> expiry, RLF is not triggered. Instead, SCG Failure Information is reported to MN. </w:t>
      </w:r>
      <w:r w:rsidR="000D0ED6">
        <w:t>The remaining issue to be discussed and confirmed is when T312 shall be stopped. In case the legacy PSCell Change reconfiguration is received, T312 will be stopped immediately upon the reception of such message a</w:t>
      </w:r>
      <w:r w:rsidR="001B4DDC">
        <w:t>s</w:t>
      </w:r>
      <w:r w:rsidR="000D0ED6">
        <w:t xml:space="preserve"> the UE executes the configured </w:t>
      </w:r>
      <w:r w:rsidR="001B4DDC">
        <w:t xml:space="preserve">PSCell </w:t>
      </w:r>
      <w:r w:rsidR="000D0ED6">
        <w:t>change</w:t>
      </w:r>
      <w:r w:rsidR="00DF30AD">
        <w:t xml:space="preserve"> immediately</w:t>
      </w:r>
      <w:r w:rsidR="000D0ED6">
        <w:t>.</w:t>
      </w:r>
      <w:r w:rsidR="001B4DDC">
        <w:t xml:space="preserve"> We think there should be no difference </w:t>
      </w:r>
      <w:r w:rsidR="0037735A">
        <w:t>in case of</w:t>
      </w:r>
      <w:r w:rsidR="001B4DDC">
        <w:t xml:space="preserve"> conditional PSCell change (CPC) handling. Once such reconfiguration is received the UE stops T312 running in the PSCell and starts evaluating the CPC execution conditions.</w:t>
      </w:r>
    </w:p>
    <w:p w14:paraId="3ECBF3A5" w14:textId="18089BB8" w:rsidR="001B4DDC" w:rsidRPr="009132E0" w:rsidRDefault="001B4DDC" w:rsidP="002A0DD1">
      <w:pPr>
        <w:jc w:val="both"/>
        <w:rPr>
          <w:b/>
        </w:rPr>
      </w:pPr>
      <w:r w:rsidRPr="009132E0">
        <w:rPr>
          <w:b/>
        </w:rPr>
        <w:t xml:space="preserve">Proposal 2: </w:t>
      </w:r>
      <w:r w:rsidR="009132E0" w:rsidRPr="009132E0">
        <w:rPr>
          <w:b/>
        </w:rPr>
        <w:t>When reconfiguration for CPC is received, the UE stops T312 for PSCell.</w:t>
      </w:r>
    </w:p>
    <w:p w14:paraId="4F547731" w14:textId="48CEDA05" w:rsidR="00A209D6" w:rsidRDefault="009132E0" w:rsidP="002A0DD1">
      <w:pPr>
        <w:jc w:val="both"/>
      </w:pPr>
      <w:r>
        <w:t xml:space="preserve">PSCell change is not the only type of reconfiguration the UE may receive. It can happen that the UE in DC </w:t>
      </w:r>
      <w:r w:rsidR="005D12C7">
        <w:t>is provided with</w:t>
      </w:r>
      <w:r>
        <w:t xml:space="preserve"> the PCell HO command while the T312 for PSCell is running. UE’s behaviour for such scenario should be clarified as well.</w:t>
      </w:r>
      <w:r w:rsidR="005D12C7">
        <w:t xml:space="preserve"> </w:t>
      </w:r>
      <w:r w:rsidR="00A46D66">
        <w:t>T</w:t>
      </w:r>
      <w:r w:rsidR="005D12C7">
        <w:t xml:space="preserve">he decision whether to stop T312 can </w:t>
      </w:r>
      <w:r w:rsidR="001A5F6C">
        <w:t>be related to the type of MN HO. If SN is retained after PCell HO, T312 can continue. Otherwise it shall be stopped.</w:t>
      </w:r>
    </w:p>
    <w:p w14:paraId="5A2618D5" w14:textId="1E4A5E51" w:rsidR="00C64F61" w:rsidRDefault="00C64F61" w:rsidP="00647BAE">
      <w:pPr>
        <w:jc w:val="both"/>
        <w:rPr>
          <w:bCs/>
        </w:rPr>
      </w:pPr>
      <w:r w:rsidRPr="002A0DD1">
        <w:rPr>
          <w:bCs/>
        </w:rPr>
        <w:t xml:space="preserve">However, one may also think whether </w:t>
      </w:r>
      <w:r w:rsidR="00647BAE" w:rsidRPr="002A0DD1">
        <w:rPr>
          <w:bCs/>
        </w:rPr>
        <w:t xml:space="preserve">PCell HO can be completed before PSCell’s T312 expiry. Thus, we are also open to other approaches in this area, e.g. to always stop T312 in PSCell whenever a PCell HO is commanded. </w:t>
      </w:r>
    </w:p>
    <w:p w14:paraId="2611030C" w14:textId="428ED938" w:rsidR="00647BAE" w:rsidRPr="00647BAE" w:rsidRDefault="00647BAE">
      <w:pPr>
        <w:rPr>
          <w:b/>
        </w:rPr>
      </w:pPr>
      <w:r w:rsidRPr="001A5F6C">
        <w:rPr>
          <w:b/>
        </w:rPr>
        <w:t xml:space="preserve">Proposal 3: In case of PCell HO, </w:t>
      </w:r>
      <w:r>
        <w:rPr>
          <w:b/>
        </w:rPr>
        <w:t xml:space="preserve">RAN2 is asked to decide whether </w:t>
      </w:r>
      <w:r w:rsidRPr="001A5F6C">
        <w:rPr>
          <w:b/>
        </w:rPr>
        <w:t>T312 running for PSCell is stopped only if the SN is not retained</w:t>
      </w:r>
      <w:r>
        <w:rPr>
          <w:b/>
        </w:rPr>
        <w:t xml:space="preserve"> or is stopped always</w:t>
      </w:r>
      <w:r w:rsidRPr="001A5F6C">
        <w:rPr>
          <w:b/>
        </w:rPr>
        <w:t xml:space="preserve">. </w:t>
      </w:r>
      <w:commentRangeStart w:id="1"/>
      <w:commentRangeEnd w:id="1"/>
    </w:p>
    <w:p w14:paraId="766D6D29" w14:textId="39932A6F" w:rsidR="00A209D6" w:rsidRPr="006E13D1" w:rsidRDefault="00A209D6" w:rsidP="00A209D6">
      <w:pPr>
        <w:pStyle w:val="Heading1"/>
      </w:pPr>
      <w:r w:rsidRPr="006E13D1">
        <w:t>3</w:t>
      </w:r>
      <w:r w:rsidRPr="006E13D1">
        <w:tab/>
      </w:r>
      <w:r w:rsidR="000C4237">
        <w:t>Conclusion</w:t>
      </w:r>
    </w:p>
    <w:p w14:paraId="653EED19" w14:textId="76740FF5" w:rsidR="00A209D6" w:rsidRDefault="007D5DBE" w:rsidP="00A209D6">
      <w:r>
        <w:t>In this paper we have discussed the T312’s behaviour in conditional reconfigurations, being specified in Rel-16.</w:t>
      </w:r>
      <w:r w:rsidR="00CA126A">
        <w:t xml:space="preserve"> The following observations and proposals have been made:</w:t>
      </w:r>
    </w:p>
    <w:p w14:paraId="372C263B" w14:textId="7D30064B" w:rsidR="001A5F6C" w:rsidRPr="00D72FC3" w:rsidRDefault="001A5F6C" w:rsidP="001A5F6C">
      <w:pPr>
        <w:rPr>
          <w:b/>
        </w:rPr>
      </w:pPr>
      <w:r w:rsidRPr="00D72FC3">
        <w:rPr>
          <w:b/>
        </w:rPr>
        <w:t xml:space="preserve">Observation 1: T312 is not necessary for monitoring the radio link in the serving cell after the reception of </w:t>
      </w:r>
      <w:r w:rsidRPr="00D72FC3">
        <w:rPr>
          <w:b/>
          <w:i/>
        </w:rPr>
        <w:t>cho-Config</w:t>
      </w:r>
      <w:r w:rsidRPr="00D72FC3">
        <w:rPr>
          <w:b/>
        </w:rPr>
        <w:t>. T310 is still available for such purpose.</w:t>
      </w:r>
    </w:p>
    <w:p w14:paraId="2138D64F" w14:textId="77777777" w:rsidR="001A5F6C" w:rsidRDefault="001A5F6C" w:rsidP="001A5F6C">
      <w:pPr>
        <w:rPr>
          <w:b/>
        </w:rPr>
      </w:pPr>
      <w:r w:rsidRPr="00F86DEF">
        <w:rPr>
          <w:b/>
        </w:rPr>
        <w:t>Observation 2: T312 is used to declare fast RLF. There is no need for such immediate action when</w:t>
      </w:r>
      <w:r>
        <w:rPr>
          <w:b/>
        </w:rPr>
        <w:t xml:space="preserve"> UE is prepared with CHO configurations.</w:t>
      </w:r>
    </w:p>
    <w:p w14:paraId="4E14ACA3" w14:textId="77777777" w:rsidR="001A5F6C" w:rsidRPr="001D154C" w:rsidRDefault="001A5F6C" w:rsidP="001A5F6C">
      <w:pPr>
        <w:jc w:val="both"/>
        <w:rPr>
          <w:b/>
        </w:rPr>
      </w:pPr>
      <w:r w:rsidRPr="001D154C">
        <w:rPr>
          <w:b/>
        </w:rPr>
        <w:t>Observation 3: After T312 expiry</w:t>
      </w:r>
      <w:r>
        <w:rPr>
          <w:b/>
        </w:rPr>
        <w:t>,</w:t>
      </w:r>
      <w:r w:rsidRPr="001D154C">
        <w:rPr>
          <w:b/>
        </w:rPr>
        <w:t xml:space="preserve"> in the presence of CHO configurations, the UE is not likely to recover via single CHO attempt.</w:t>
      </w:r>
    </w:p>
    <w:p w14:paraId="2E5D5883" w14:textId="77777777" w:rsidR="001A5F6C" w:rsidRPr="00F86DEF" w:rsidRDefault="001A5F6C" w:rsidP="001A5F6C">
      <w:pPr>
        <w:jc w:val="both"/>
        <w:rPr>
          <w:b/>
        </w:rPr>
      </w:pPr>
      <w:r>
        <w:rPr>
          <w:b/>
        </w:rPr>
        <w:t xml:space="preserve">Proposal 1: UE stops T312 when RRC Reconfiguration with </w:t>
      </w:r>
      <w:r w:rsidRPr="000C4237">
        <w:rPr>
          <w:b/>
          <w:i/>
        </w:rPr>
        <w:t>cho-Config</w:t>
      </w:r>
      <w:r>
        <w:rPr>
          <w:b/>
        </w:rPr>
        <w:t xml:space="preserve"> is received. </w:t>
      </w:r>
      <w:r w:rsidRPr="00F86DEF">
        <w:rPr>
          <w:b/>
        </w:rPr>
        <w:t xml:space="preserve"> </w:t>
      </w:r>
    </w:p>
    <w:p w14:paraId="705F295B" w14:textId="77777777" w:rsidR="001A5F6C" w:rsidRPr="009132E0" w:rsidRDefault="001A5F6C" w:rsidP="001A5F6C">
      <w:pPr>
        <w:rPr>
          <w:b/>
        </w:rPr>
      </w:pPr>
      <w:r w:rsidRPr="009132E0">
        <w:rPr>
          <w:b/>
        </w:rPr>
        <w:t>Proposal 2: When reconfiguration for CPC is received, the UE stops T312 for PSCell.</w:t>
      </w:r>
    </w:p>
    <w:p w14:paraId="4C289B02" w14:textId="366E59FE" w:rsidR="00647BAE" w:rsidRPr="00B96D84" w:rsidRDefault="00647BAE" w:rsidP="00647BAE">
      <w:pPr>
        <w:rPr>
          <w:b/>
        </w:rPr>
      </w:pPr>
      <w:r w:rsidRPr="001A5F6C">
        <w:rPr>
          <w:b/>
        </w:rPr>
        <w:t xml:space="preserve">Proposal 3: In case of PCell HO, </w:t>
      </w:r>
      <w:r>
        <w:rPr>
          <w:b/>
        </w:rPr>
        <w:t xml:space="preserve">RAN2 is asked to decide whether </w:t>
      </w:r>
      <w:r w:rsidRPr="001A5F6C">
        <w:rPr>
          <w:b/>
        </w:rPr>
        <w:t>T312 running for PSCell is stopped only if the SN is not retained</w:t>
      </w:r>
      <w:r>
        <w:rPr>
          <w:b/>
        </w:rPr>
        <w:t xml:space="preserve"> or is stopped always</w:t>
      </w:r>
      <w:r w:rsidRPr="001A5F6C">
        <w:rPr>
          <w:b/>
        </w:rPr>
        <w:t xml:space="preserve">. </w:t>
      </w:r>
    </w:p>
    <w:p w14:paraId="31FDCACA" w14:textId="40856D32" w:rsidR="003C760C" w:rsidRDefault="003C760C">
      <w:pPr>
        <w:pStyle w:val="Heading1"/>
      </w:pPr>
      <w:r>
        <w:lastRenderedPageBreak/>
        <w:t>References</w:t>
      </w:r>
    </w:p>
    <w:p w14:paraId="59BB00E3" w14:textId="4C405F62" w:rsidR="003C760C" w:rsidRDefault="003C760C" w:rsidP="003C760C">
      <w:pPr>
        <w:pStyle w:val="ListParagraph"/>
        <w:numPr>
          <w:ilvl w:val="0"/>
          <w:numId w:val="8"/>
        </w:numPr>
      </w:pPr>
      <w:bookmarkStart w:id="2" w:name="_Ref31199917"/>
      <w:r>
        <w:t xml:space="preserve">R2-1916281 </w:t>
      </w:r>
      <w:r w:rsidRPr="003C760C">
        <w:rPr>
          <w:i/>
        </w:rPr>
        <w:t>Report from session on LTE legacy, LTE TEI16 and NR/LTE Rel-16</w:t>
      </w:r>
      <w:r>
        <w:t xml:space="preserve"> 3GPP TSG-RAN WG2 Meeting #108 Reno, USA, 18 – 22 Oct 2019</w:t>
      </w:r>
      <w:bookmarkEnd w:id="2"/>
    </w:p>
    <w:p w14:paraId="5C98114F" w14:textId="30E95203" w:rsidR="003C760C" w:rsidRPr="003C760C" w:rsidRDefault="005D3CFF" w:rsidP="003C760C">
      <w:pPr>
        <w:pStyle w:val="ListParagraph"/>
        <w:numPr>
          <w:ilvl w:val="0"/>
          <w:numId w:val="8"/>
        </w:numPr>
      </w:pPr>
      <w:bookmarkStart w:id="3" w:name="_Ref31199934"/>
      <w:r w:rsidRPr="005D3CFF">
        <w:t>R2-2000461</w:t>
      </w:r>
      <w:r>
        <w:t xml:space="preserve"> </w:t>
      </w:r>
      <w:r w:rsidR="003C760C" w:rsidRPr="003C760C">
        <w:rPr>
          <w:i/>
        </w:rPr>
        <w:t>Report of [108#66][LTE NR Mob] Open issues for LTE and NR mobility (Intel)</w:t>
      </w:r>
      <w:r w:rsidR="003C760C">
        <w:t xml:space="preserve"> 3GPP TSG-RAN WG2 Meeting #109</w:t>
      </w:r>
      <w:r w:rsidR="00A46D66">
        <w:t>e</w:t>
      </w:r>
      <w:r w:rsidR="003C760C">
        <w:t xml:space="preserve"> </w:t>
      </w:r>
      <w:bookmarkEnd w:id="3"/>
      <w:r w:rsidR="00A46D66">
        <w:t>Online Elbonia</w:t>
      </w:r>
    </w:p>
    <w:sectPr w:rsidR="003C760C" w:rsidRPr="003C760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B3311" w14:textId="77777777" w:rsidR="00394473" w:rsidRDefault="00394473">
      <w:r>
        <w:separator/>
      </w:r>
    </w:p>
  </w:endnote>
  <w:endnote w:type="continuationSeparator" w:id="0">
    <w:p w14:paraId="7FDAB0B9" w14:textId="77777777" w:rsidR="00394473" w:rsidRDefault="00394473">
      <w:r>
        <w:continuationSeparator/>
      </w:r>
    </w:p>
  </w:endnote>
  <w:endnote w:type="continuationNotice" w:id="1">
    <w:p w14:paraId="2A49FB2B" w14:textId="77777777" w:rsidR="00394473" w:rsidRDefault="00394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E9A22" w14:textId="77777777" w:rsidR="00394473" w:rsidRDefault="00394473">
      <w:r>
        <w:separator/>
      </w:r>
    </w:p>
  </w:footnote>
  <w:footnote w:type="continuationSeparator" w:id="0">
    <w:p w14:paraId="17F71F9E" w14:textId="77777777" w:rsidR="00394473" w:rsidRDefault="00394473">
      <w:r>
        <w:continuationSeparator/>
      </w:r>
    </w:p>
  </w:footnote>
  <w:footnote w:type="continuationNotice" w:id="1">
    <w:p w14:paraId="438F4307" w14:textId="77777777" w:rsidR="00394473" w:rsidRDefault="003944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FC7D9E"/>
    <w:multiLevelType w:val="hybridMultilevel"/>
    <w:tmpl w:val="A8241C7A"/>
    <w:lvl w:ilvl="0" w:tplc="8DC67D4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2E58DC"/>
    <w:multiLevelType w:val="hybridMultilevel"/>
    <w:tmpl w:val="604CBFBA"/>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21E7F3C"/>
    <w:multiLevelType w:val="hybridMultilevel"/>
    <w:tmpl w:val="BC989504"/>
    <w:lvl w:ilvl="0" w:tplc="CE68F73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4D1C2E"/>
    <w:multiLevelType w:val="hybridMultilevel"/>
    <w:tmpl w:val="7E503530"/>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5"/>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2B2C"/>
    <w:rsid w:val="000B74EA"/>
    <w:rsid w:val="000B7BCF"/>
    <w:rsid w:val="000C4237"/>
    <w:rsid w:val="000C522B"/>
    <w:rsid w:val="000D0ED6"/>
    <w:rsid w:val="000D58AB"/>
    <w:rsid w:val="000F4D63"/>
    <w:rsid w:val="00112F1A"/>
    <w:rsid w:val="00145075"/>
    <w:rsid w:val="001741A0"/>
    <w:rsid w:val="00175FA0"/>
    <w:rsid w:val="00194CD0"/>
    <w:rsid w:val="001A5F6C"/>
    <w:rsid w:val="001B49C9"/>
    <w:rsid w:val="001B4DDC"/>
    <w:rsid w:val="001C23F4"/>
    <w:rsid w:val="001C4F79"/>
    <w:rsid w:val="001D154C"/>
    <w:rsid w:val="001E4D38"/>
    <w:rsid w:val="001F168B"/>
    <w:rsid w:val="001F7831"/>
    <w:rsid w:val="00204045"/>
    <w:rsid w:val="0020712B"/>
    <w:rsid w:val="0022606D"/>
    <w:rsid w:val="00231728"/>
    <w:rsid w:val="00250404"/>
    <w:rsid w:val="002610D8"/>
    <w:rsid w:val="002747EC"/>
    <w:rsid w:val="002855BF"/>
    <w:rsid w:val="002A0DD1"/>
    <w:rsid w:val="002D4AED"/>
    <w:rsid w:val="002F0D22"/>
    <w:rsid w:val="00311B17"/>
    <w:rsid w:val="003172DC"/>
    <w:rsid w:val="00325AE3"/>
    <w:rsid w:val="00326069"/>
    <w:rsid w:val="003413B2"/>
    <w:rsid w:val="003528C7"/>
    <w:rsid w:val="0035462D"/>
    <w:rsid w:val="00364B41"/>
    <w:rsid w:val="0037735A"/>
    <w:rsid w:val="00383096"/>
    <w:rsid w:val="00394473"/>
    <w:rsid w:val="003A41EF"/>
    <w:rsid w:val="003B40AD"/>
    <w:rsid w:val="003C4E37"/>
    <w:rsid w:val="003C760C"/>
    <w:rsid w:val="003E16BE"/>
    <w:rsid w:val="003F4E28"/>
    <w:rsid w:val="004006E8"/>
    <w:rsid w:val="00401855"/>
    <w:rsid w:val="00465587"/>
    <w:rsid w:val="00477455"/>
    <w:rsid w:val="004A1F7B"/>
    <w:rsid w:val="004B59CE"/>
    <w:rsid w:val="004C44D2"/>
    <w:rsid w:val="004D3578"/>
    <w:rsid w:val="004D380D"/>
    <w:rsid w:val="004E213A"/>
    <w:rsid w:val="00503171"/>
    <w:rsid w:val="00506C28"/>
    <w:rsid w:val="00534DA0"/>
    <w:rsid w:val="00543E6C"/>
    <w:rsid w:val="00565087"/>
    <w:rsid w:val="0056573F"/>
    <w:rsid w:val="00592118"/>
    <w:rsid w:val="005D12C7"/>
    <w:rsid w:val="005D1BF7"/>
    <w:rsid w:val="005D3CFF"/>
    <w:rsid w:val="00611566"/>
    <w:rsid w:val="00614D2B"/>
    <w:rsid w:val="00646D99"/>
    <w:rsid w:val="00647BAE"/>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D5DBE"/>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132E0"/>
    <w:rsid w:val="00923655"/>
    <w:rsid w:val="00936071"/>
    <w:rsid w:val="009376CD"/>
    <w:rsid w:val="00940212"/>
    <w:rsid w:val="009428F8"/>
    <w:rsid w:val="00942EC2"/>
    <w:rsid w:val="00961B32"/>
    <w:rsid w:val="00962509"/>
    <w:rsid w:val="00970DB3"/>
    <w:rsid w:val="00974BB0"/>
    <w:rsid w:val="00975BCD"/>
    <w:rsid w:val="009A0AF3"/>
    <w:rsid w:val="009B07CD"/>
    <w:rsid w:val="009C19E9"/>
    <w:rsid w:val="009D74A6"/>
    <w:rsid w:val="00A10F02"/>
    <w:rsid w:val="00A204CA"/>
    <w:rsid w:val="00A209D6"/>
    <w:rsid w:val="00A46D66"/>
    <w:rsid w:val="00A53724"/>
    <w:rsid w:val="00A53BD0"/>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3997"/>
    <w:rsid w:val="00C23D6B"/>
    <w:rsid w:val="00C24650"/>
    <w:rsid w:val="00C25465"/>
    <w:rsid w:val="00C33079"/>
    <w:rsid w:val="00C64F61"/>
    <w:rsid w:val="00C83A13"/>
    <w:rsid w:val="00C9068C"/>
    <w:rsid w:val="00C92967"/>
    <w:rsid w:val="00CA0EE3"/>
    <w:rsid w:val="00CA126A"/>
    <w:rsid w:val="00CA3D0C"/>
    <w:rsid w:val="00CA654B"/>
    <w:rsid w:val="00CB72B8"/>
    <w:rsid w:val="00CD4C7B"/>
    <w:rsid w:val="00CD58FE"/>
    <w:rsid w:val="00CD6599"/>
    <w:rsid w:val="00D33BE3"/>
    <w:rsid w:val="00D3792D"/>
    <w:rsid w:val="00D55E47"/>
    <w:rsid w:val="00D62E19"/>
    <w:rsid w:val="00D67CD1"/>
    <w:rsid w:val="00D72FC3"/>
    <w:rsid w:val="00D738D6"/>
    <w:rsid w:val="00D80795"/>
    <w:rsid w:val="00D854BE"/>
    <w:rsid w:val="00D87E00"/>
    <w:rsid w:val="00D9134D"/>
    <w:rsid w:val="00D96D11"/>
    <w:rsid w:val="00DA7A03"/>
    <w:rsid w:val="00DB0DB8"/>
    <w:rsid w:val="00DB1818"/>
    <w:rsid w:val="00DC309B"/>
    <w:rsid w:val="00DC4DA2"/>
    <w:rsid w:val="00DC5261"/>
    <w:rsid w:val="00DE25D2"/>
    <w:rsid w:val="00DF30AD"/>
    <w:rsid w:val="00E46C08"/>
    <w:rsid w:val="00E471CF"/>
    <w:rsid w:val="00E56CCC"/>
    <w:rsid w:val="00E62835"/>
    <w:rsid w:val="00E7240F"/>
    <w:rsid w:val="00E77645"/>
    <w:rsid w:val="00E83697"/>
    <w:rsid w:val="00E9522F"/>
    <w:rsid w:val="00EA66C9"/>
    <w:rsid w:val="00EC4A25"/>
    <w:rsid w:val="00ED5F1A"/>
    <w:rsid w:val="00F025A2"/>
    <w:rsid w:val="00F036E9"/>
    <w:rsid w:val="00F07388"/>
    <w:rsid w:val="00F2026E"/>
    <w:rsid w:val="00F2210A"/>
    <w:rsid w:val="00F23E1A"/>
    <w:rsid w:val="00F37743"/>
    <w:rsid w:val="00F54A3D"/>
    <w:rsid w:val="00F54CB0"/>
    <w:rsid w:val="00F579CD"/>
    <w:rsid w:val="00F653B8"/>
    <w:rsid w:val="00F71B89"/>
    <w:rsid w:val="00F7353C"/>
    <w:rsid w:val="00F76F8F"/>
    <w:rsid w:val="00F86DEF"/>
    <w:rsid w:val="00F941DF"/>
    <w:rsid w:val="00FA1266"/>
    <w:rsid w:val="00FA4915"/>
    <w:rsid w:val="00FB36FA"/>
    <w:rsid w:val="00FC1192"/>
    <w:rsid w:val="00FE251B"/>
    <w:rsid w:val="00FE7494"/>
    <w:rsid w:val="25119F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C7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760C"/>
    <w:pPr>
      <w:ind w:left="720"/>
      <w:contextualSpacing/>
    </w:pPr>
  </w:style>
  <w:style w:type="character" w:styleId="CommentReference">
    <w:name w:val="annotation reference"/>
    <w:basedOn w:val="DefaultParagraphFont"/>
    <w:rsid w:val="007D5DBE"/>
    <w:rPr>
      <w:sz w:val="16"/>
      <w:szCs w:val="16"/>
    </w:rPr>
  </w:style>
  <w:style w:type="paragraph" w:styleId="CommentText">
    <w:name w:val="annotation text"/>
    <w:basedOn w:val="Normal"/>
    <w:link w:val="CommentTextChar"/>
    <w:rsid w:val="007D5DBE"/>
  </w:style>
  <w:style w:type="character" w:customStyle="1" w:styleId="CommentTextChar">
    <w:name w:val="Comment Text Char"/>
    <w:basedOn w:val="DefaultParagraphFont"/>
    <w:link w:val="CommentText"/>
    <w:rsid w:val="007D5DBE"/>
    <w:rPr>
      <w:lang w:eastAsia="en-US"/>
    </w:rPr>
  </w:style>
  <w:style w:type="paragraph" w:styleId="CommentSubject">
    <w:name w:val="annotation subject"/>
    <w:basedOn w:val="CommentText"/>
    <w:next w:val="CommentText"/>
    <w:link w:val="CommentSubjectChar"/>
    <w:rsid w:val="007D5DBE"/>
    <w:rPr>
      <w:b/>
      <w:bCs/>
    </w:rPr>
  </w:style>
  <w:style w:type="character" w:customStyle="1" w:styleId="CommentSubjectChar">
    <w:name w:val="Comment Subject Char"/>
    <w:basedOn w:val="CommentTextChar"/>
    <w:link w:val="CommentSubject"/>
    <w:rsid w:val="007D5D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5AIRPNAIUNRU-859666464-6042</_dlc_DocId>
    <_dlc_DocIdUrl xmlns="71c5aaf6-e6ce-465b-b873-5148d2a4c105">
      <Url>https://nokia.sharepoint.com/sites/c5g/e2earch/_layouts/15/DocIdRedir.aspx?ID=5AIRPNAIUNRU-859666464-6042</Url>
      <Description>5AIRPNAIUNRU-859666464-6042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F099B458-2079-4043-91AB-D534065F7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http://purl.org/dc/elements/1.1/"/>
    <ds:schemaRef ds:uri="http://purl.org/dc/dcmitype/"/>
    <ds:schemaRef ds:uri="http://schemas.microsoft.com/office/2006/documentManagement/types"/>
    <ds:schemaRef ds:uri="83f22d2f-d16e-4be6-ad4f-29fa0b067c3c"/>
    <ds:schemaRef ds:uri="3b34c8f0-1ef5-4d1e-bb66-517ce7fe7356"/>
    <ds:schemaRef ds:uri="http://schemas.microsoft.com/office/2006/metadata/properties"/>
    <ds:schemaRef ds:uri="http://schemas.microsoft.com/office/infopath/2007/PartnerControls"/>
    <ds:schemaRef ds:uri="a3840f4f-04be-43d1-b2ef-6ff1382503c7"/>
    <ds:schemaRef ds:uri="http://www.w3.org/XML/1998/namespac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72214DFB-6BBB-43B1-9C97-1CAFFE43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3</Pages>
  <Words>1123</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92</cp:revision>
  <dcterms:created xsi:type="dcterms:W3CDTF">2016-08-12T03:53:00Z</dcterms:created>
  <dcterms:modified xsi:type="dcterms:W3CDTF">2020-02-13T15:18:00Z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07b09216-5b5f-4e56-b58c-06561cd1b544</vt:lpwstr>
  </property>
</Properties>
</file>